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mpact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JUZGADO PRIMERA INSTANCIA Nº __________ DE _________________</w:t>
      </w:r>
    </w:p>
    <w:p>
      <w:pPr>
        <w:pStyle w:val="Compact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mpact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PROCEDIMIENTO MONITORIO ____________________________________</w:t>
      </w:r>
      <w:bookmarkStart w:id="0" w:name="_GoBack"/>
      <w:bookmarkEnd w:id="0"/>
    </w:p>
    <w:p>
      <w:pPr>
        <w:pStyle w:val="Compact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mpact"/>
        <w:spacing w:before="0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Compact"/>
        <w:spacing w:before="0" w:after="0"/>
        <w:jc w:val="center"/>
        <w:rPr>
          <w:u w:val="single"/>
        </w:rPr>
      </w:pPr>
      <w:r>
        <w:rPr>
          <w:b/>
          <w:u w:val="single"/>
        </w:rPr>
        <w:t>AL JUZGADO DE PRIMERA INSTANCIA Nº 5 DE GAVA</w:t>
      </w:r>
    </w:p>
    <w:p>
      <w:pPr>
        <w:pStyle w:val="Compact"/>
        <w:spacing w:before="0" w:after="0"/>
        <w:rPr/>
      </w:pPr>
      <w:r>
        <w:rPr/>
        <w:t> </w:t>
      </w:r>
    </w:p>
    <w:p>
      <w:pPr>
        <w:pStyle w:val="Compact"/>
        <w:spacing w:before="0" w:after="0"/>
        <w:rPr/>
      </w:pPr>
      <w:r>
        <w:rPr/>
      </w:r>
    </w:p>
    <w:p>
      <w:pPr>
        <w:pStyle w:val="TextBody"/>
        <w:spacing w:before="0" w:after="0"/>
        <w:rPr>
          <w:b/>
          <w:b/>
        </w:rPr>
      </w:pPr>
      <w:r>
        <w:rPr>
          <w:i/>
        </w:rPr>
        <w:t xml:space="preserve">Don/Doña </w:t>
      </w:r>
      <w:r>
        <w:rPr>
          <w:b/>
          <w:i/>
        </w:rPr>
        <w:t>_______________________</w:t>
      </w:r>
      <w:r>
        <w:rPr>
          <w:i/>
        </w:rPr>
        <w:t>,</w:t>
      </w:r>
      <w:r>
        <w:rPr/>
        <w:t xml:space="preserve"> con </w:t>
      </w:r>
      <w:r>
        <w:rPr>
          <w:i/>
        </w:rPr>
        <w:t>DNI __________________</w:t>
      </w:r>
      <w:r>
        <w:rPr/>
        <w:t xml:space="preserve">, y domicilio a efecto de notificaciones sito en Calle _________________, nº ___________, Piso__________, CP _____________, Localidad ___________________________, ,actuando en su propio nombre y representación, comparezco en los autos del proceso monitorio numero __________________________ y, como mejor en Derecho proceda, </w:t>
      </w:r>
      <w:r>
        <w:rPr>
          <w:b/>
        </w:rPr>
        <w:t>DIGO:</w:t>
      </w:r>
    </w:p>
    <w:p>
      <w:pPr>
        <w:pStyle w:val="TextBody"/>
        <w:spacing w:before="0" w:after="0"/>
        <w:rPr/>
      </w:pPr>
      <w:r>
        <w:rPr/>
        <w:t> </w:t>
      </w:r>
    </w:p>
    <w:p>
      <w:pPr>
        <w:pStyle w:val="TextBody"/>
        <w:spacing w:before="0" w:after="0"/>
        <w:rPr/>
      </w:pPr>
      <w:r>
        <w:rPr/>
        <w:t xml:space="preserve">Que por medio del presente escrito, y  de conformidad con lo dispuesto en el </w:t>
      </w:r>
      <w:r>
        <w:fldChar w:fldCharType="begin"/>
      </w:r>
      <w:r>
        <w:rPr>
          <w:rStyle w:val="InternetLink"/>
        </w:rPr>
        <w:instrText> HYPERLINK "http://app.vlex.com/" \l "vid/126688/node/818"</w:instrText>
      </w:r>
      <w:r>
        <w:rPr>
          <w:rStyle w:val="InternetLink"/>
        </w:rPr>
        <w:fldChar w:fldCharType="separate"/>
      </w:r>
      <w:r>
        <w:rPr>
          <w:rStyle w:val="InternetLink"/>
        </w:rPr>
        <w:t>art. 818</w:t>
      </w:r>
      <w:r>
        <w:rPr>
          <w:rStyle w:val="InternetLink"/>
        </w:rPr>
        <w:fldChar w:fldCharType="end"/>
      </w:r>
      <w:r>
        <w:rPr/>
        <w:t xml:space="preserve">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</w:rPr>
        <w:t>LEC</w:t>
      </w:r>
      <w:r>
        <w:rPr>
          <w:rStyle w:val="InternetLink"/>
        </w:rPr>
        <w:fldChar w:fldCharType="end"/>
      </w:r>
      <w:r>
        <w:rPr/>
        <w:t xml:space="preserve"> formulo en tiempo y forma </w:t>
      </w:r>
      <w:r>
        <w:rPr>
          <w:b/>
        </w:rPr>
        <w:t>ESCRITO DE OPOSICIÓN A LA PETICIÓN DE PROCEDIMIENTO MONITORIO</w:t>
      </w:r>
      <w:r>
        <w:rPr/>
        <w:t xml:space="preserve"> presentada por la mercantil ________________________, con base en las siguientes </w:t>
      </w:r>
    </w:p>
    <w:p>
      <w:pPr>
        <w:pStyle w:val="Compact"/>
        <w:spacing w:before="0" w:after="0"/>
        <w:rPr>
          <w:b/>
          <w:b/>
        </w:rPr>
      </w:pPr>
      <w:r>
        <w:rPr>
          <w:b/>
        </w:rPr>
      </w:r>
    </w:p>
    <w:p>
      <w:pPr>
        <w:pStyle w:val="Compact"/>
        <w:spacing w:before="0" w:after="0"/>
        <w:rPr>
          <w:b/>
          <w:b/>
        </w:rPr>
      </w:pPr>
      <w:r>
        <w:rPr>
          <w:b/>
        </w:rPr>
      </w:r>
    </w:p>
    <w:p>
      <w:pPr>
        <w:pStyle w:val="Compact"/>
        <w:spacing w:before="0" w:after="0"/>
        <w:jc w:val="center"/>
        <w:rPr>
          <w:u w:val="single"/>
        </w:rPr>
      </w:pPr>
      <w:r>
        <w:rPr>
          <w:b/>
          <w:u w:val="single"/>
        </w:rPr>
        <w:t>ALEGACIONES</w:t>
      </w:r>
    </w:p>
    <w:p>
      <w:pPr>
        <w:pStyle w:val="Compact"/>
        <w:spacing w:before="0" w:after="0"/>
        <w:rPr/>
      </w:pPr>
      <w:r>
        <w:rPr/>
        <w:t> </w:t>
      </w:r>
    </w:p>
    <w:p>
      <w:pPr>
        <w:pStyle w:val="Compact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PRIMERA. -</w:t>
      </w:r>
      <w:r>
        <w:rPr/>
        <w:t xml:space="preserve">  Se niegan todos y cada uno de los hechos consignados en la petición inicial formulada de adverso, mientras expresamente no se diga otra cosa.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>
          <w:b/>
          <w:b/>
        </w:rPr>
      </w:pPr>
      <w:r>
        <w:rPr>
          <w:b/>
        </w:rPr>
        <w:t>SEGUNDA.</w:t>
      </w:r>
      <w:r>
        <w:rPr/>
        <w:t xml:space="preserve"> - Se ha emplazado a mi mandante mediante Diligencia de Ordenación de este Juzgado de fecha _____________ de _______________ de _____________, para que en un plazo de veinte días alegue en escrito de oposición a la petición de procedimiento monitorio interpuesta por la mercantil </w:t>
      </w:r>
      <w:r>
        <w:rPr>
          <w:b/>
        </w:rPr>
        <w:t>________________________________</w:t>
      </w:r>
      <w:r>
        <w:rPr/>
        <w:t xml:space="preserve">; petición en la que se reclama la cantidad de </w:t>
      </w:r>
      <w:r>
        <w:rPr>
          <w:b/>
        </w:rPr>
        <w:t>_________________________________.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TERCERA. -</w:t>
      </w:r>
      <w:r>
        <w:rPr/>
        <w:t xml:space="preserve"> Esta parte </w:t>
      </w:r>
      <w:r>
        <w:rPr>
          <w:b/>
          <w:i/>
          <w:u w:val="single"/>
        </w:rPr>
        <w:t>niega</w:t>
      </w:r>
      <w:r>
        <w:rPr>
          <w:b/>
          <w:u w:val="single"/>
        </w:rPr>
        <w:t xml:space="preserve"> </w:t>
      </w:r>
      <w:r>
        <w:rPr>
          <w:b/>
          <w:i/>
          <w:u w:val="single"/>
        </w:rPr>
        <w:t>que exista ninguna deuda contraída</w:t>
      </w:r>
      <w:r>
        <w:rPr>
          <w:i/>
        </w:rPr>
        <w:t xml:space="preserve"> con el demandante</w:t>
      </w:r>
      <w:r>
        <w:rPr/>
        <w:t xml:space="preserve"> dado que jamás se ha procedido a la solicitud del credito como se indica.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Igualmente, en ningun momento se acredita en la petición inicial del procedimiento contrato alguno firmado entre ninguna entidad de credito o bancaria y mi persona.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Del mismo modo, tampoco consta el ingreso en ninguna cuenta de mi titularidad de la supuesta deuda reclamada. 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CUARTA. -</w:t>
      </w:r>
      <w:r>
        <w:rPr/>
        <w:t xml:space="preserve"> Tampoco consta documentacion fehaciente de que se ha comunicado la citada deuda ni tampoco que se incluya toda la informacion contractual.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QUINTO. -</w:t>
      </w:r>
      <w:r>
        <w:rPr/>
        <w:t xml:space="preserve"> Las alegaciones vertidas en el punto anterior convierten en improcedente la reclamación dirigida a mi mandante.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>A las anteriores alegaciones les son de aplicación los siguientes </w:t>
      </w:r>
    </w:p>
    <w:p>
      <w:pPr>
        <w:pStyle w:val="Compact"/>
        <w:spacing w:before="0" w:after="0"/>
        <w:rPr>
          <w:b/>
          <w:b/>
        </w:rPr>
      </w:pPr>
      <w:r>
        <w:rPr>
          <w:b/>
        </w:rPr>
      </w:r>
    </w:p>
    <w:p>
      <w:pPr>
        <w:pStyle w:val="Compact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Compact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Compact"/>
        <w:spacing w:before="0" w:after="0"/>
        <w:jc w:val="center"/>
        <w:rPr/>
      </w:pPr>
      <w:r>
        <w:rPr>
          <w:b/>
        </w:rPr>
        <w:t>FUNDAMENTOS JURÍDICOS</w:t>
      </w:r>
    </w:p>
    <w:p>
      <w:pPr>
        <w:pStyle w:val="Compact"/>
        <w:spacing w:before="0" w:after="0"/>
        <w:rPr/>
      </w:pPr>
      <w:r>
        <w:rPr/>
        <w:t> </w:t>
      </w:r>
    </w:p>
    <w:p>
      <w:pPr>
        <w:pStyle w:val="Compact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PRIMERO.-</w:t>
      </w:r>
      <w:r>
        <w:rPr/>
        <w:t xml:space="preserve"> </w:t>
      </w:r>
      <w:r>
        <w:rPr>
          <w:b/>
        </w:rPr>
        <w:t>JURISDICCIÓN Y COMPETENCIA</w:t>
      </w:r>
      <w:r>
        <w:rPr/>
        <w:t xml:space="preserve">. Es competente este Juzgado de Primera Instancia por cuanto el </w:t>
      </w:r>
      <w:r>
        <w:fldChar w:fldCharType="begin"/>
      </w:r>
      <w:r>
        <w:rPr>
          <w:rStyle w:val="InternetLink"/>
        </w:rPr>
        <w:instrText> HYPERLINK "http://app.vlex.com/" \l "vid/126688/node/813"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artículo 813</w:t>
      </w:r>
      <w:r>
        <w:rPr>
          <w:rStyle w:val="InternetLink"/>
        </w:rPr>
        <w:fldChar w:fldCharType="end"/>
      </w:r>
      <w:r>
        <w:rPr/>
        <w:t xml:space="preserve"> de la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LEC</w:t>
      </w:r>
      <w:r>
        <w:rPr>
          <w:rStyle w:val="InternetLink"/>
        </w:rPr>
        <w:fldChar w:fldCharType="end"/>
      </w:r>
      <w:r>
        <w:rPr/>
        <w:t xml:space="preserve"> establece que es exclusivamente competente para el proceso monitorio el Juzgado del domicilio del deudor.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SEGUNDO.</w:t>
      </w:r>
      <w:r>
        <w:rPr/>
        <w:t xml:space="preserve">- </w:t>
      </w:r>
      <w:r>
        <w:rPr>
          <w:b/>
        </w:rPr>
        <w:t>CAPACIDAD</w:t>
      </w:r>
      <w:r>
        <w:rPr/>
        <w:t xml:space="preserve">. Esta parte ostenta capacidad para ser parte y para comparecer en el procedimiento monitorio en virtud de los artículos </w:t>
      </w:r>
      <w:r>
        <w:fldChar w:fldCharType="begin"/>
      </w:r>
      <w:r>
        <w:rPr>
          <w:rStyle w:val="InternetLink"/>
        </w:rPr>
        <w:instrText> HYPERLINK "http://app.vlex.com/" \l "vid/126688/node/6.1.1"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6.1.1º</w:t>
      </w:r>
      <w:r>
        <w:rPr>
          <w:rStyle w:val="InternetLink"/>
        </w:rPr>
        <w:fldChar w:fldCharType="end"/>
      </w:r>
      <w:r>
        <w:rPr/>
        <w:t xml:space="preserve"> y </w:t>
      </w:r>
      <w:r>
        <w:fldChar w:fldCharType="begin"/>
      </w:r>
      <w:r>
        <w:rPr>
          <w:rStyle w:val="InternetLink"/>
        </w:rPr>
        <w:instrText> HYPERLINK "http://app.vlex.com/" \l "vid/126688/node/7.1"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7.1</w:t>
      </w:r>
      <w:r>
        <w:rPr>
          <w:rStyle w:val="InternetLink"/>
        </w:rPr>
        <w:fldChar w:fldCharType="end"/>
      </w:r>
      <w:r>
        <w:rPr/>
        <w:t xml:space="preserve"> de la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LEC</w:t>
      </w:r>
      <w:r>
        <w:rPr>
          <w:rStyle w:val="InternetLink"/>
        </w:rPr>
        <w:fldChar w:fldCharType="end"/>
      </w:r>
      <w:r>
        <w:rPr/>
        <w:t>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TERCERO.</w:t>
      </w:r>
      <w:r>
        <w:rPr/>
        <w:t xml:space="preserve">- </w:t>
      </w:r>
      <w:r>
        <w:rPr>
          <w:b/>
        </w:rPr>
        <w:t>LEGITIMACIÓN</w:t>
      </w:r>
      <w:r>
        <w:rPr/>
        <w:t xml:space="preserve">. Se alegan, </w:t>
      </w:r>
      <w:r>
        <w:rPr>
          <w:i/>
        </w:rPr>
        <w:t>contrario sensu</w:t>
      </w:r>
      <w:r>
        <w:rPr/>
        <w:t>, los artículos que haya alegado la parte contraria para la legitimación activa y pasiva.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CUARTO.-</w:t>
      </w:r>
      <w:r>
        <w:rPr/>
        <w:t xml:space="preserve"> </w:t>
      </w:r>
      <w:r>
        <w:rPr>
          <w:b/>
        </w:rPr>
        <w:t>POSTULACIÓN Y REPRESENTACIÓN</w:t>
      </w:r>
      <w:r>
        <w:rPr/>
        <w:t>. Esta parte comparece representada por procurador y bajo dirección letrada (</w:t>
      </w:r>
      <w:r>
        <w:fldChar w:fldCharType="begin"/>
      </w:r>
      <w:r>
        <w:rPr>
          <w:rStyle w:val="InternetLink"/>
        </w:rPr>
        <w:instrText> HYPERLINK "http://app.vlex.com/" \l "vid/126688/node/818"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artículos 818</w:t>
      </w:r>
      <w:r>
        <w:rPr>
          <w:rStyle w:val="InternetLink"/>
        </w:rPr>
        <w:fldChar w:fldCharType="end"/>
      </w:r>
      <w:r>
        <w:rPr/>
        <w:t xml:space="preserve"> en relación con el 23.2.1º y el 31.2.1º de la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LEC</w:t>
      </w:r>
      <w:r>
        <w:rPr>
          <w:rStyle w:val="InternetLink"/>
        </w:rPr>
        <w:fldChar w:fldCharType="end"/>
      </w:r>
      <w:r>
        <w:rPr/>
        <w:t>).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QUINTO</w:t>
      </w:r>
      <w:r>
        <w:rPr/>
        <w:t xml:space="preserve">.- </w:t>
      </w:r>
      <w:r>
        <w:rPr>
          <w:b/>
        </w:rPr>
        <w:t>PROCEDIMIENTO</w:t>
      </w:r>
      <w:r>
        <w:rPr/>
        <w:t xml:space="preserve">. El presente procedimiento se sustanciará por las reglas procesales relativas al procedimiento monitorio, regulado en el </w:t>
      </w:r>
      <w:r>
        <w:fldChar w:fldCharType="begin"/>
      </w:r>
      <w:r>
        <w:rPr>
          <w:rStyle w:val="InternetLink"/>
        </w:rPr>
        <w:instrText> HYPERLINK "http://app.vlex.com/" \l "vid/126688/node/812"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artículo 812</w:t>
      </w:r>
      <w:r>
        <w:rPr>
          <w:rStyle w:val="InternetLink"/>
        </w:rPr>
        <w:fldChar w:fldCharType="end"/>
      </w:r>
      <w:r>
        <w:rPr/>
        <w:t xml:space="preserve"> y siguientes de la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LEC</w:t>
      </w:r>
      <w:r>
        <w:rPr>
          <w:rStyle w:val="InternetLink"/>
        </w:rPr>
        <w:fldChar w:fldCharType="end"/>
      </w:r>
      <w:r>
        <w:rPr/>
        <w:t>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SEXTO.</w:t>
      </w:r>
      <w:r>
        <w:rPr/>
        <w:t xml:space="preserve">- </w:t>
      </w:r>
      <w:r>
        <w:rPr>
          <w:b/>
        </w:rPr>
        <w:t>FONDO DE LA PRETENSIÓN</w:t>
      </w:r>
      <w:r>
        <w:rPr/>
        <w:t xml:space="preserve">. El </w:t>
      </w:r>
      <w:r>
        <w:fldChar w:fldCharType="begin"/>
      </w:r>
      <w:r>
        <w:rPr>
          <w:rStyle w:val="InternetLink"/>
        </w:rPr>
        <w:instrText> HYPERLINK "http://app.vlex.com/" \l "vid/126688/node/818"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artículo 818</w:t>
      </w:r>
      <w:r>
        <w:rPr>
          <w:rStyle w:val="InternetLink"/>
        </w:rPr>
        <w:fldChar w:fldCharType="end"/>
      </w:r>
      <w:r>
        <w:rPr/>
        <w:t xml:space="preserve">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  <w:color w:val="auto"/>
        </w:rPr>
        <w:t>LEC</w:t>
      </w:r>
      <w:r>
        <w:rPr>
          <w:rStyle w:val="InternetLink"/>
        </w:rPr>
        <w:fldChar w:fldCharType="end"/>
      </w:r>
      <w:r>
        <w:rPr/>
        <w:t xml:space="preserve"> prevé la posibilidad de oposición a la petición inicial del procedimiento monitorio por parte del deudor.</w:t>
      </w:r>
    </w:p>
    <w:p>
      <w:pPr>
        <w:pStyle w:val="TextBody"/>
        <w:spacing w:before="0" w:after="0"/>
        <w:rPr>
          <w:i/>
          <w:i/>
        </w:rPr>
      </w:pPr>
      <w:r>
        <w:rPr>
          <w:i/>
        </w:rPr>
      </w:r>
    </w:p>
    <w:p>
      <w:pPr>
        <w:pStyle w:val="TextBody"/>
        <w:spacing w:before="180" w:after="0"/>
        <w:rPr/>
      </w:pPr>
      <w:r>
        <w:rPr/>
        <w:t xml:space="preserve">Esta parte niega que exista ninguna deuda contraída con el demandante dado que jamás se ha procedido a la solicitud del credito como se indica. </w:t>
      </w:r>
    </w:p>
    <w:p>
      <w:pPr>
        <w:pStyle w:val="TextBody"/>
        <w:spacing w:before="180" w:after="0"/>
        <w:rPr/>
      </w:pPr>
      <w:r>
        <w:rPr/>
        <w:t xml:space="preserve">Igualmente, en ningun momento se acredita en la petición inicial del procedimiento contrato alguno firmado entre ninguna entidad de credito o bancaria y mi persona.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Del mismo modo, tampoco consta el ingreso en ninguna cuenta de mi titularidad de la supuesta deuda reclamada. 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SÉPTIMO</w:t>
      </w:r>
      <w:r>
        <w:rPr/>
        <w:t xml:space="preserve">.- COSTAS. Se solicita, según lo que estipula el </w:t>
      </w:r>
      <w:r>
        <w:fldChar w:fldCharType="begin"/>
      </w:r>
      <w:r>
        <w:rPr>
          <w:rStyle w:val="InternetLink"/>
        </w:rPr>
        <w:instrText> HYPERLINK "http://app.vlex.com/" \l "vid/126688/node/394"</w:instrText>
      </w:r>
      <w:r>
        <w:rPr>
          <w:rStyle w:val="InternetLink"/>
        </w:rPr>
        <w:fldChar w:fldCharType="separate"/>
      </w:r>
      <w:r>
        <w:rPr>
          <w:rStyle w:val="InternetLink"/>
        </w:rPr>
        <w:t>artículo 394</w:t>
      </w:r>
      <w:r>
        <w:rPr>
          <w:rStyle w:val="InternetLink"/>
        </w:rPr>
        <w:fldChar w:fldCharType="end"/>
      </w:r>
      <w:r>
        <w:rPr/>
        <w:t xml:space="preserve">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</w:rPr>
        <w:t>LEC</w:t>
      </w:r>
      <w:r>
        <w:rPr>
          <w:rStyle w:val="InternetLink"/>
        </w:rPr>
        <w:fldChar w:fldCharType="end"/>
      </w:r>
      <w:r>
        <w:rPr/>
        <w:t>, la condena en costas a la parte contraria.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>Por todo lo expuesto,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SOLICITO AL JUZGADO:</w:t>
      </w:r>
      <w:r>
        <w:rPr/>
        <w:t xml:space="preserve"> Que teniendo por presentado este escrito, con sus copias, se sirva admitirlo, tenerme por parte en nombre de quien comparezco, y por formulada OPOSICIÓN a la petición inicial de proceso monitorio promovida por </w:t>
      </w:r>
      <w:r>
        <w:rPr>
          <w:i/>
        </w:rPr>
        <w:t>la mercantil __________________________________</w:t>
      </w:r>
      <w:r>
        <w:rPr/>
        <w:t xml:space="preserve"> a los efectos procesales oportunos.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OTROSÍ DIGO PRIMERO</w:t>
      </w:r>
      <w:r>
        <w:rPr/>
        <w:t xml:space="preserve">, que en aplicación del </w:t>
      </w:r>
      <w:r>
        <w:fldChar w:fldCharType="begin"/>
      </w:r>
      <w:r>
        <w:rPr>
          <w:rStyle w:val="InternetLink"/>
        </w:rPr>
        <w:instrText> HYPERLINK "http://app.vlex.com/" \l "vid/126688/node/818"</w:instrText>
      </w:r>
      <w:r>
        <w:rPr>
          <w:rStyle w:val="InternetLink"/>
        </w:rPr>
        <w:fldChar w:fldCharType="separate"/>
      </w:r>
      <w:r>
        <w:rPr>
          <w:rStyle w:val="InternetLink"/>
        </w:rPr>
        <w:t>art. 818.2 de la LEC</w:t>
      </w:r>
      <w:r>
        <w:rPr>
          <w:rStyle w:val="InternetLink"/>
        </w:rPr>
        <w:fldChar w:fldCharType="end"/>
      </w:r>
      <w:r>
        <w:rPr/>
        <w:t>, interesa al derecho de esta parte se proceda en los presentes autos a la celebración de la vista.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SOLICITO AL JUZGADO</w:t>
      </w:r>
      <w:r>
        <w:rPr/>
        <w:t>, que tenga por efectuada la anterior manifestación y provea de conformidad.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OTROSÍ DIGO SEGUNDO</w:t>
      </w:r>
      <w:r>
        <w:rPr/>
        <w:t xml:space="preserve">que, al amparo del </w:t>
      </w:r>
      <w:r>
        <w:fldChar w:fldCharType="begin"/>
      </w:r>
      <w:r>
        <w:rPr>
          <w:rStyle w:val="InternetLink"/>
        </w:rPr>
        <w:instrText> HYPERLINK "http://app.vlex.com/" \l "vid/126688/node/231"</w:instrText>
      </w:r>
      <w:r>
        <w:rPr>
          <w:rStyle w:val="InternetLink"/>
        </w:rPr>
        <w:fldChar w:fldCharType="separate"/>
      </w:r>
      <w:r>
        <w:rPr>
          <w:rStyle w:val="InternetLink"/>
        </w:rPr>
        <w:t>art. 231</w:t>
      </w:r>
      <w:r>
        <w:rPr>
          <w:rStyle w:val="InternetLink"/>
        </w:rPr>
        <w:fldChar w:fldCharType="end"/>
      </w:r>
      <w:r>
        <w:rPr/>
        <w:t xml:space="preserve"> </w:t>
      </w:r>
      <w:r>
        <w:fldChar w:fldCharType="begin"/>
      </w:r>
      <w:r>
        <w:rPr>
          <w:rStyle w:val="InternetLink"/>
        </w:rPr>
        <w:instrText> HYPERLINK "http://app.vlex.com/" \l "vid/126688"</w:instrText>
      </w:r>
      <w:r>
        <w:rPr>
          <w:rStyle w:val="InternetLink"/>
        </w:rPr>
        <w:fldChar w:fldCharType="separate"/>
      </w:r>
      <w:r>
        <w:rPr>
          <w:rStyle w:val="InternetLink"/>
        </w:rPr>
        <w:t>LEC</w:t>
      </w:r>
      <w:r>
        <w:rPr>
          <w:rStyle w:val="InternetLink"/>
        </w:rPr>
        <w:fldChar w:fldCharType="end"/>
      </w:r>
      <w:r>
        <w:rPr/>
        <w:t xml:space="preserve"> esta parte manifiesta su voluntad de corregir cualquier defecto de carácter procesal en que pudiera haber incurrido. 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b/>
        </w:rPr>
        <w:t>SOLICITO AL JUZGADO</w:t>
      </w:r>
      <w:r>
        <w:rPr/>
        <w:t xml:space="preserve"> que tenga por efectuada la anterior manifestación y provea de conformidad.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>Es Justicia que pido en _____________________, a _______ de _____________ de __________.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 xml:space="preserve">Fdo.- </w:t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/>
        <w:t>___________________________________</w:t>
      </w:r>
    </w:p>
    <w:p>
      <w:pPr>
        <w:pStyle w:val="TextBody"/>
        <w:spacing w:before="0" w:after="0"/>
        <w:rPr/>
      </w:pPr>
      <w:r>
        <w:rPr/>
      </w:r>
    </w:p>
    <w:sectPr>
      <w:type w:val="nextPage"/>
      <w:pgSz w:w="11906" w:h="16838"/>
      <w:pgMar w:left="1800" w:right="1552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9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131d"/>
    <w:pPr>
      <w:widowControl/>
      <w:bidi w:val="0"/>
      <w:spacing w:before="0" w:after="200"/>
      <w:jc w:val="left"/>
    </w:pPr>
    <w:rPr>
      <w:rFonts w:eastAsia="Cambria" w:eastAsiaTheme="minorHAnsi" w:ascii="Cambria" w:hAnsi="Cambria" w:cs="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next w:val="TextBody"/>
    <w:link w:val="Ttulo2Car"/>
    <w:uiPriority w:val="9"/>
    <w:unhideWhenUsed/>
    <w:qFormat/>
    <w:rsid w:val="007c131d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6">
    <w:name w:val="Heading 6"/>
    <w:basedOn w:val="Normal"/>
    <w:next w:val="Normal"/>
    <w:link w:val="Ttulo6Car"/>
    <w:uiPriority w:val="9"/>
    <w:unhideWhenUsed/>
    <w:qFormat/>
    <w:rsid w:val="00e80017"/>
    <w:pPr>
      <w:keepNext w:val="true"/>
      <w:keepLines/>
      <w:spacing w:before="200" w:after="200"/>
      <w:outlineLvl w:val="5"/>
    </w:pPr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link w:val="Ttulo6"/>
    <w:uiPriority w:val="9"/>
    <w:semiHidden/>
    <w:qFormat/>
    <w:rsid w:val="00e80017"/>
    <w:rPr>
      <w:rFonts w:ascii="Calibri" w:hAnsi="Calibri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7c131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  <w:lang w:val="en-U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7c131d"/>
    <w:rPr>
      <w:rFonts w:eastAsia="Cambria" w:eastAsiaTheme="minorHAnsi"/>
      <w:lang w:val="en-US"/>
    </w:rPr>
  </w:style>
  <w:style w:type="character" w:styleId="InternetLink">
    <w:name w:val="Internet Link"/>
    <w:basedOn w:val="DefaultParagraphFont"/>
    <w:rsid w:val="007c131d"/>
    <w:rPr>
      <w:color w:val="4F81BD" w:themeColor="accent1"/>
    </w:rPr>
  </w:style>
  <w:style w:type="character" w:styleId="KeywordTok" w:customStyle="1">
    <w:name w:val="KeywordTok"/>
    <w:qFormat/>
    <w:rPr>
      <w:b/>
      <w:color w:val="007020"/>
    </w:rPr>
  </w:style>
  <w:style w:type="character" w:styleId="DataTypeTok" w:customStyle="1">
    <w:name w:val="DataTypeTok"/>
    <w:qFormat/>
    <w:rPr>
      <w:color w:val="902000"/>
    </w:rPr>
  </w:style>
  <w:style w:type="character" w:styleId="DecValTok" w:customStyle="1">
    <w:name w:val="DecValTok"/>
    <w:qFormat/>
    <w:rPr>
      <w:color w:val="40A070"/>
    </w:rPr>
  </w:style>
  <w:style w:type="character" w:styleId="BaseNTok" w:customStyle="1">
    <w:name w:val="BaseNTok"/>
    <w:qFormat/>
    <w:rPr>
      <w:color w:val="40A070"/>
    </w:rPr>
  </w:style>
  <w:style w:type="character" w:styleId="FloatTok" w:customStyle="1">
    <w:name w:val="FloatTok"/>
    <w:qFormat/>
    <w:rPr>
      <w:color w:val="40A070"/>
    </w:rPr>
  </w:style>
  <w:style w:type="character" w:styleId="ConstantTok" w:customStyle="1">
    <w:name w:val="ConstantTok"/>
    <w:qFormat/>
    <w:rPr>
      <w:color w:val="880000"/>
    </w:rPr>
  </w:style>
  <w:style w:type="character" w:styleId="CharTok" w:customStyle="1">
    <w:name w:val="CharTok"/>
    <w:qFormat/>
    <w:rPr>
      <w:color w:val="4070A0"/>
    </w:rPr>
  </w:style>
  <w:style w:type="character" w:styleId="SpecialCharTok" w:customStyle="1">
    <w:name w:val="SpecialCharTok"/>
    <w:qFormat/>
    <w:rPr>
      <w:color w:val="4070A0"/>
    </w:rPr>
  </w:style>
  <w:style w:type="character" w:styleId="StringTok" w:customStyle="1">
    <w:name w:val="StringTok"/>
    <w:qFormat/>
    <w:rPr>
      <w:color w:val="4070A0"/>
    </w:rPr>
  </w:style>
  <w:style w:type="character" w:styleId="VerbatimStringTok" w:customStyle="1">
    <w:name w:val="VerbatimStringTok"/>
    <w:qFormat/>
    <w:rPr>
      <w:color w:val="4070A0"/>
    </w:rPr>
  </w:style>
  <w:style w:type="character" w:styleId="SpecialStringTok" w:customStyle="1">
    <w:name w:val="SpecialStringTok"/>
    <w:qFormat/>
    <w:rPr>
      <w:color w:val="BB6688"/>
    </w:rPr>
  </w:style>
  <w:style w:type="character" w:styleId="ImportTok" w:customStyle="1">
    <w:name w:val="ImportTok"/>
    <w:qFormat/>
    <w:rPr/>
  </w:style>
  <w:style w:type="character" w:styleId="CommentTok" w:customStyle="1">
    <w:name w:val="CommentTok"/>
    <w:qFormat/>
    <w:rPr>
      <w:i/>
      <w:color w:val="60A0B0"/>
    </w:rPr>
  </w:style>
  <w:style w:type="character" w:styleId="DocumentationTok" w:customStyle="1">
    <w:name w:val="DocumentationTok"/>
    <w:qFormat/>
    <w:rPr>
      <w:i/>
      <w:color w:val="BA2121"/>
    </w:rPr>
  </w:style>
  <w:style w:type="character" w:styleId="AnnotationTok" w:customStyle="1">
    <w:name w:val="AnnotationTok"/>
    <w:qFormat/>
    <w:rPr>
      <w:b/>
      <w:i/>
      <w:color w:val="60A0B0"/>
    </w:rPr>
  </w:style>
  <w:style w:type="character" w:styleId="CommentVarTok" w:customStyle="1">
    <w:name w:val="CommentVarTok"/>
    <w:qFormat/>
    <w:rPr>
      <w:b/>
      <w:i/>
      <w:color w:val="60A0B0"/>
    </w:rPr>
  </w:style>
  <w:style w:type="character" w:styleId="OtherTok" w:customStyle="1">
    <w:name w:val="OtherTok"/>
    <w:qFormat/>
    <w:rPr>
      <w:color w:val="007020"/>
    </w:rPr>
  </w:style>
  <w:style w:type="character" w:styleId="FunctionTok" w:customStyle="1">
    <w:name w:val="FunctionTok"/>
    <w:qFormat/>
    <w:rPr>
      <w:color w:val="06287E"/>
    </w:rPr>
  </w:style>
  <w:style w:type="character" w:styleId="VariableTok" w:customStyle="1">
    <w:name w:val="VariableTok"/>
    <w:qFormat/>
    <w:rPr>
      <w:color w:val="19177C"/>
    </w:rPr>
  </w:style>
  <w:style w:type="character" w:styleId="ControlFlowTok" w:customStyle="1">
    <w:name w:val="ControlFlowTok"/>
    <w:qFormat/>
    <w:rPr>
      <w:b/>
      <w:color w:val="007020"/>
    </w:rPr>
  </w:style>
  <w:style w:type="character" w:styleId="OperatorTok" w:customStyle="1">
    <w:name w:val="OperatorTok"/>
    <w:qFormat/>
    <w:rPr>
      <w:color w:val="666666"/>
    </w:rPr>
  </w:style>
  <w:style w:type="character" w:styleId="BuiltInTok" w:customStyle="1">
    <w:name w:val="BuiltInTok"/>
    <w:qFormat/>
    <w:rPr/>
  </w:style>
  <w:style w:type="character" w:styleId="ExtensionTok" w:customStyle="1">
    <w:name w:val="ExtensionTok"/>
    <w:qFormat/>
    <w:rPr/>
  </w:style>
  <w:style w:type="character" w:styleId="PreprocessorTok" w:customStyle="1">
    <w:name w:val="PreprocessorTok"/>
    <w:qFormat/>
    <w:rPr>
      <w:color w:val="BC7A00"/>
    </w:rPr>
  </w:style>
  <w:style w:type="character" w:styleId="AttributeTok" w:customStyle="1">
    <w:name w:val="AttributeTok"/>
    <w:qFormat/>
    <w:rPr>
      <w:color w:val="7D9029"/>
    </w:rPr>
  </w:style>
  <w:style w:type="character" w:styleId="RegionMarkerTok" w:customStyle="1">
    <w:name w:val="RegionMarkerTok"/>
    <w:qFormat/>
    <w:rPr/>
  </w:style>
  <w:style w:type="character" w:styleId="InformationTok" w:customStyle="1">
    <w:name w:val="InformationTok"/>
    <w:qFormat/>
    <w:rPr>
      <w:b/>
      <w:i/>
      <w:color w:val="60A0B0"/>
    </w:rPr>
  </w:style>
  <w:style w:type="character" w:styleId="WarningTok" w:customStyle="1">
    <w:name w:val="WarningTok"/>
    <w:qFormat/>
    <w:rPr>
      <w:b/>
      <w:i/>
      <w:color w:val="60A0B0"/>
    </w:rPr>
  </w:style>
  <w:style w:type="character" w:styleId="AlertTok" w:customStyle="1">
    <w:name w:val="AlertTok"/>
    <w:qFormat/>
    <w:rPr>
      <w:b/>
      <w:color w:val="FF0000"/>
    </w:rPr>
  </w:style>
  <w:style w:type="character" w:styleId="ErrorTok" w:customStyle="1">
    <w:name w:val="ErrorTok"/>
    <w:qFormat/>
    <w:rPr>
      <w:b/>
      <w:color w:val="FF0000"/>
    </w:rPr>
  </w:style>
  <w:style w:type="character" w:styleId="NormalTok" w:customStyle="1">
    <w:name w:val="NormalTok"/>
    <w:qFormat/>
    <w:rPr/>
  </w:style>
  <w:style w:type="character" w:styleId="EncabezadoCar" w:customStyle="1">
    <w:name w:val="Encabezado Car"/>
    <w:basedOn w:val="DefaultParagraphFont"/>
    <w:link w:val="Encabezado"/>
    <w:qFormat/>
    <w:rsid w:val="004700a8"/>
    <w:rPr>
      <w:rFonts w:eastAsia="Cambria" w:eastAsiaTheme="minorHAnsi"/>
      <w:lang w:val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00a8"/>
    <w:rPr>
      <w:rFonts w:eastAsia="Cambria" w:eastAsiaTheme="minorHAnsi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TextoindependienteCar"/>
    <w:qFormat/>
    <w:rsid w:val="007c131d"/>
    <w:pPr>
      <w:spacing w:before="180" w:after="180"/>
      <w:jc w:val="both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irstParagraph" w:customStyle="1">
    <w:name w:val="First Paragraph"/>
    <w:basedOn w:val="TextBody"/>
    <w:next w:val="TextBody"/>
    <w:qFormat/>
    <w:rsid w:val="007c131d"/>
    <w:pPr/>
    <w:rPr/>
  </w:style>
  <w:style w:type="paragraph" w:styleId="Compact" w:customStyle="1">
    <w:name w:val="Compact"/>
    <w:basedOn w:val="TextBody"/>
    <w:qFormat/>
    <w:rsid w:val="007c131d"/>
    <w:pPr>
      <w:spacing w:before="36" w:after="36"/>
    </w:pPr>
    <w:rPr/>
  </w:style>
  <w:style w:type="paragraph" w:styleId="BlockText">
    <w:name w:val="Block Text"/>
    <w:basedOn w:val="TextBody"/>
    <w:next w:val="TextBody"/>
    <w:uiPriority w:val="9"/>
    <w:unhideWhenUsed/>
    <w:qFormat/>
    <w:rsid w:val="007c131d"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SourceCode" w:customStyle="1">
    <w:name w:val="Source Cod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4700a8"/>
    <w:pPr>
      <w:tabs>
        <w:tab w:val="clear" w:pos="720"/>
        <w:tab w:val="center" w:pos="4153" w:leader="none"/>
        <w:tab w:val="right" w:pos="8306" w:leader="none"/>
      </w:tabs>
      <w:spacing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4700a8"/>
    <w:pPr>
      <w:tabs>
        <w:tab w:val="clear" w:pos="720"/>
        <w:tab w:val="center" w:pos="4153" w:leader="none"/>
        <w:tab w:val="right" w:pos="8306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4</Pages>
  <Words>703</Words>
  <Characters>4047</Characters>
  <CharactersWithSpaces>4745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2020-05-13T09:36:00Z</dcterms:created>
  <dc:creator>Carlos</dc:creator>
  <dc:description/>
  <dc:language>en-GB</dc:language>
  <cp:lastModifiedBy>Carlos</cp:lastModifiedBy>
  <dcterms:modified xsi:type="dcterms:W3CDTF">2020-05-13T09:36:00Z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